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-493393</wp:posOffset>
            </wp:positionV>
            <wp:extent cx="2211070" cy="143827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Sean Ryan</w:t>
        <w:br w:type="textWrapping"/>
        <w:t xml:space="preserve">Office Sought (district if applicable): 149</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Assembly District</w:t>
        <w:br w:type="textWrapping"/>
        <w:t xml:space="preserve">Website: seanryanassembly.com</w:t>
        <w:br w:type="textWrapping"/>
        <w:t xml:space="preserve">Facebook Page: facebook.com/AssemblySeanRyan</w:t>
        <w:br w:type="textWrapping"/>
        <w:t xml:space="preserve">Twitter handle: twitter.com/SeanMRyan149</w:t>
      </w: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I continue to fight for modern and smart urban development. From the Scajaquada redesign to the Outer Harbor development, modernizing our community in an environmentally sound manner is of the utmost importance. I have been proud to lend my voice and to vote for legislation such as microbeads, brownfield extension, and increasing funding for water cleanup. The accomplishment I consider my personal favorite is helping to bring the bike ferry to the harbor. This has not only opened up the outer harbor and the wonderful sites that it contains, but does so in a way that does not increase motor vehicle use. </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voted to increase funding during this last year’s budget and will continue to push for more funding.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I’ve worked with the assembly leadership to address climate change. We have put rules in place to control green house gases. Personally, I sponsored the Geothermal Tax Credit bill which passed last year.</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understand the importance of maintaining healthy communities for all of our shared benefit. I have taken a strong interest in lead paint protection and support ongoing efforts to reduce the amount of lead poisoning in our community. Often it is the populations that are least able to protect themselves (children, people with disabilities) that suffer from our communities inadequate protection of our natural resources.</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As my district runs a significant portion of my district runs along Lake Erie, I pay particular attention to the health of our natural resources. Woodlawn Beach water quality, banning microbeads and triclosan, cleaning up the Scajaquada Creek, and improving the air quality throughout the area are all issues I have pushed in the past two years.</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Smart growth and modern urban development are all important issues in my district. Highway redesign, Outer Harbor development, modernizing our electrical infrastructure to improve use and conservation of energy, and water and sewer infrastructure have all become important and pressing issues throughout my time in the assembly.  </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